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E501" w14:textId="5D411A1C" w:rsidR="003F1C00" w:rsidRDefault="003F1C0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939444" wp14:editId="1D28C2A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76450" cy="830580"/>
            <wp:effectExtent l="0" t="0" r="0" b="0"/>
            <wp:wrapThrough wrapText="bothSides">
              <wp:wrapPolygon edited="0">
                <wp:start x="2774" y="495"/>
                <wp:lineTo x="1585" y="1982"/>
                <wp:lineTo x="0" y="6440"/>
                <wp:lineTo x="0" y="13376"/>
                <wp:lineTo x="793" y="17339"/>
                <wp:lineTo x="793" y="17835"/>
                <wp:lineTo x="2576" y="19817"/>
                <wp:lineTo x="2972" y="20807"/>
                <wp:lineTo x="4161" y="20807"/>
                <wp:lineTo x="5945" y="19817"/>
                <wp:lineTo x="19618" y="17835"/>
                <wp:lineTo x="19618" y="17339"/>
                <wp:lineTo x="21402" y="12385"/>
                <wp:lineTo x="21402" y="4954"/>
                <wp:lineTo x="4360" y="495"/>
                <wp:lineTo x="2774" y="495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B0306" w14:textId="77777777" w:rsidR="003F1C00" w:rsidRDefault="003F1C00">
      <w:pPr>
        <w:rPr>
          <w:rFonts w:cstheme="minorHAnsi"/>
          <w:b/>
          <w:bCs/>
          <w:sz w:val="24"/>
          <w:szCs w:val="24"/>
        </w:rPr>
      </w:pPr>
    </w:p>
    <w:p w14:paraId="2ADF5F3C" w14:textId="77777777" w:rsidR="003F1C00" w:rsidRDefault="003F1C00">
      <w:pPr>
        <w:rPr>
          <w:rFonts w:cstheme="minorHAnsi"/>
          <w:b/>
          <w:bCs/>
          <w:sz w:val="24"/>
          <w:szCs w:val="24"/>
        </w:rPr>
      </w:pPr>
    </w:p>
    <w:p w14:paraId="66070B7C" w14:textId="0A8CB7DE" w:rsidR="003F1C00" w:rsidRPr="0044044A" w:rsidRDefault="00D7358D" w:rsidP="00BC0E7A">
      <w:pPr>
        <w:jc w:val="both"/>
        <w:rPr>
          <w:rFonts w:cstheme="minorHAnsi"/>
          <w:b/>
          <w:bCs/>
        </w:rPr>
      </w:pPr>
      <w:r w:rsidRPr="0044044A">
        <w:rPr>
          <w:rFonts w:cstheme="minorHAnsi"/>
          <w:b/>
          <w:bCs/>
        </w:rPr>
        <w:t xml:space="preserve">GP </w:t>
      </w:r>
      <w:r w:rsidR="0044044A">
        <w:rPr>
          <w:rFonts w:cstheme="minorHAnsi"/>
          <w:b/>
          <w:bCs/>
        </w:rPr>
        <w:t xml:space="preserve">- </w:t>
      </w:r>
      <w:r w:rsidRPr="0044044A">
        <w:rPr>
          <w:rFonts w:cstheme="minorHAnsi"/>
          <w:b/>
          <w:bCs/>
        </w:rPr>
        <w:t>ARRS</w:t>
      </w:r>
      <w:r w:rsidR="00CD301E" w:rsidRPr="0044044A">
        <w:rPr>
          <w:rFonts w:cstheme="minorHAnsi"/>
          <w:b/>
          <w:bCs/>
        </w:rPr>
        <w:t xml:space="preserve"> </w:t>
      </w:r>
      <w:r w:rsidR="0044044A">
        <w:rPr>
          <w:rFonts w:cstheme="minorHAnsi"/>
          <w:b/>
          <w:bCs/>
        </w:rPr>
        <w:t>(qualified within 2 years of certificate of completion training)</w:t>
      </w:r>
    </w:p>
    <w:p w14:paraId="0A2F1363" w14:textId="553205F4" w:rsidR="003F1C00" w:rsidRPr="0044044A" w:rsidRDefault="003F1C00" w:rsidP="00BC0E7A">
      <w:pPr>
        <w:jc w:val="both"/>
        <w:rPr>
          <w:rFonts w:cstheme="minorHAnsi"/>
          <w:color w:val="212B32"/>
        </w:rPr>
      </w:pPr>
      <w:r w:rsidRPr="0044044A">
        <w:rPr>
          <w:rFonts w:cstheme="minorHAnsi"/>
          <w:color w:val="212B32"/>
        </w:rPr>
        <w:t xml:space="preserve">Are you a </w:t>
      </w:r>
      <w:r w:rsidR="00D7358D" w:rsidRPr="0044044A">
        <w:rPr>
          <w:rFonts w:cstheme="minorHAnsi"/>
          <w:color w:val="212B32"/>
        </w:rPr>
        <w:t>newly qualified GP</w:t>
      </w:r>
      <w:r w:rsidRPr="0044044A">
        <w:rPr>
          <w:rFonts w:cstheme="minorHAnsi"/>
          <w:color w:val="212B32"/>
        </w:rPr>
        <w:t xml:space="preserve"> </w:t>
      </w:r>
      <w:r w:rsidR="00994902" w:rsidRPr="0044044A">
        <w:rPr>
          <w:rFonts w:cstheme="minorHAnsi"/>
          <w:color w:val="212B32"/>
        </w:rPr>
        <w:t xml:space="preserve">(within 2 years of certificate of completion of training at the start of employment) </w:t>
      </w:r>
      <w:r w:rsidRPr="0044044A">
        <w:rPr>
          <w:rFonts w:cstheme="minorHAnsi"/>
          <w:color w:val="212B32"/>
        </w:rPr>
        <w:t>who is looking for an exciting opportunity to join a friendly GP practice with a reputation for being forward-thinking and highly supportive with a CQC status of “outstanding”?</w:t>
      </w:r>
    </w:p>
    <w:p w14:paraId="4B0777EF" w14:textId="503A5FB4" w:rsidR="003F1C00" w:rsidRPr="0044044A" w:rsidRDefault="003F1C00" w:rsidP="00BC0E7A">
      <w:pPr>
        <w:jc w:val="both"/>
        <w:rPr>
          <w:rFonts w:cstheme="minorHAnsi"/>
          <w:color w:val="212B32"/>
        </w:rPr>
      </w:pPr>
      <w:r w:rsidRPr="0044044A">
        <w:rPr>
          <w:rFonts w:cstheme="minorHAnsi"/>
          <w:color w:val="212B32"/>
        </w:rPr>
        <w:t>We are a practice team recognised for our great team morale and high QOF achievement situated in a semi-rural location in Calverton, Nottingham. Our patient demographic is mixed allowing for the successful candidate to utilise current skills and develop their potential. </w:t>
      </w:r>
    </w:p>
    <w:p w14:paraId="75946E72" w14:textId="7B1B546D" w:rsidR="00CD301E" w:rsidRPr="0044044A" w:rsidRDefault="00994902" w:rsidP="00E6740A">
      <w:pPr>
        <w:jc w:val="both"/>
        <w:rPr>
          <w:rFonts w:cstheme="minorHAnsi"/>
          <w:color w:val="212B32"/>
        </w:rPr>
      </w:pPr>
      <w:r w:rsidRPr="0044044A">
        <w:rPr>
          <w:rFonts w:cstheme="minorHAnsi"/>
          <w:color w:val="212B32"/>
        </w:rPr>
        <w:t>This is a ARRS role and therefore a contract is being offered for 4 sessions per week until the end of March</w:t>
      </w:r>
      <w:r w:rsidR="00CD4901" w:rsidRPr="0044044A">
        <w:rPr>
          <w:rFonts w:cstheme="minorHAnsi"/>
          <w:color w:val="212B32"/>
        </w:rPr>
        <w:t xml:space="preserve"> 2025.</w:t>
      </w:r>
    </w:p>
    <w:p w14:paraId="527CCD1D" w14:textId="77777777" w:rsidR="0044044A" w:rsidRPr="0044044A" w:rsidRDefault="0044044A" w:rsidP="00E6740A">
      <w:pPr>
        <w:jc w:val="both"/>
        <w:rPr>
          <w:rFonts w:cstheme="minorHAnsi"/>
          <w:color w:val="212B32"/>
        </w:rPr>
      </w:pPr>
    </w:p>
    <w:p w14:paraId="6E4FAD75" w14:textId="64503F2C" w:rsidR="004F4EED" w:rsidRPr="0044044A" w:rsidRDefault="004F4EED" w:rsidP="00E6740A">
      <w:pPr>
        <w:jc w:val="both"/>
        <w:rPr>
          <w:rFonts w:cstheme="minorHAnsi"/>
          <w:b/>
          <w:bCs/>
          <w:color w:val="212B32"/>
        </w:rPr>
      </w:pPr>
      <w:r w:rsidRPr="0044044A">
        <w:rPr>
          <w:rFonts w:cstheme="minorHAnsi"/>
          <w:b/>
          <w:bCs/>
          <w:color w:val="212B32"/>
        </w:rPr>
        <w:t>Job Summary</w:t>
      </w:r>
    </w:p>
    <w:p w14:paraId="75F4EC8C" w14:textId="5882C159" w:rsidR="00D7358D" w:rsidRPr="0044044A" w:rsidRDefault="00D7358D" w:rsidP="00D7358D">
      <w:pPr>
        <w:snapToGrid w:val="0"/>
        <w:rPr>
          <w:rFonts w:cstheme="minorHAnsi"/>
          <w:color w:val="000000"/>
        </w:rPr>
      </w:pPr>
      <w:r w:rsidRPr="0044044A">
        <w:rPr>
          <w:rFonts w:cstheme="minorHAnsi"/>
          <w:color w:val="000000"/>
        </w:rPr>
        <w:t xml:space="preserve">To work as an autonomous practitioner, responsible for the provision of medical services to the practice population, delivering an excellent standard of clinical care whilst complying with the contract. </w:t>
      </w:r>
    </w:p>
    <w:p w14:paraId="5D92D05C" w14:textId="5023B8EF" w:rsidR="00CD301E" w:rsidRPr="0044044A" w:rsidRDefault="00D7358D" w:rsidP="00D7358D">
      <w:pPr>
        <w:jc w:val="both"/>
        <w:rPr>
          <w:rFonts w:cstheme="minorHAnsi"/>
          <w:color w:val="000000"/>
        </w:rPr>
      </w:pPr>
      <w:r w:rsidRPr="0044044A">
        <w:rPr>
          <w:rFonts w:cstheme="minorHAnsi"/>
          <w:color w:val="000000"/>
        </w:rPr>
        <w:t xml:space="preserve">Furthermore, the post holder will adhere to the GMC standards for good medical practice, contributing to the effective management of the practice, leading by example, maintaining a positive, collaborative working relationship with the multidisciplinary team.  </w:t>
      </w:r>
    </w:p>
    <w:p w14:paraId="4BE2802B" w14:textId="77777777" w:rsidR="00D7358D" w:rsidRPr="0044044A" w:rsidRDefault="00D7358D" w:rsidP="00D7358D">
      <w:pPr>
        <w:jc w:val="both"/>
        <w:rPr>
          <w:rFonts w:cstheme="minorHAnsi"/>
          <w:b/>
          <w:bCs/>
          <w:color w:val="212B32"/>
          <w:shd w:val="clear" w:color="auto" w:fill="FFFFFF"/>
        </w:rPr>
      </w:pPr>
    </w:p>
    <w:p w14:paraId="5075A597" w14:textId="69D2F877" w:rsidR="003F1C00" w:rsidRPr="0044044A" w:rsidRDefault="003F1C00" w:rsidP="00E6740A">
      <w:pPr>
        <w:jc w:val="both"/>
        <w:rPr>
          <w:rFonts w:cstheme="minorHAnsi"/>
          <w:b/>
          <w:bCs/>
          <w:color w:val="212B32"/>
          <w:shd w:val="clear" w:color="auto" w:fill="FFFFFF"/>
        </w:rPr>
      </w:pPr>
      <w:r w:rsidRPr="0044044A">
        <w:rPr>
          <w:rFonts w:cstheme="minorHAnsi"/>
          <w:b/>
          <w:bCs/>
          <w:color w:val="212B32"/>
          <w:shd w:val="clear" w:color="auto" w:fill="FFFFFF"/>
        </w:rPr>
        <w:t>About Us</w:t>
      </w:r>
    </w:p>
    <w:p w14:paraId="5BDDCE47" w14:textId="0AD3836E" w:rsidR="003F1C00" w:rsidRPr="0044044A" w:rsidRDefault="003F1C00" w:rsidP="00E6740A">
      <w:pPr>
        <w:jc w:val="both"/>
        <w:rPr>
          <w:rFonts w:cstheme="minorHAnsi"/>
        </w:rPr>
      </w:pPr>
      <w:r w:rsidRPr="0044044A">
        <w:rPr>
          <w:rFonts w:cstheme="minorHAnsi"/>
          <w:color w:val="212B32"/>
          <w:shd w:val="clear" w:color="auto" w:fill="FFFFFF"/>
        </w:rPr>
        <w:t xml:space="preserve">The Calverton Practice is a long-established dispensing GP Practice covering Calverton and the surrounding villages with a list size of approximately </w:t>
      </w:r>
      <w:r w:rsidR="00D7358D" w:rsidRPr="0044044A">
        <w:rPr>
          <w:rFonts w:cstheme="minorHAnsi"/>
          <w:color w:val="212B32"/>
          <w:shd w:val="clear" w:color="auto" w:fill="FFFFFF"/>
        </w:rPr>
        <w:t>10,000</w:t>
      </w:r>
      <w:r w:rsidRPr="0044044A">
        <w:rPr>
          <w:rFonts w:cstheme="minorHAnsi"/>
          <w:color w:val="212B32"/>
          <w:shd w:val="clear" w:color="auto" w:fill="FFFFFF"/>
        </w:rPr>
        <w:t xml:space="preserve">. We have a team of 6 GP partners, 3 salaries GPs and as a training practice host both GP registrars and medical students. Our nursing team currently consists of </w:t>
      </w:r>
      <w:r w:rsidR="00E6740A" w:rsidRPr="0044044A">
        <w:rPr>
          <w:rFonts w:cstheme="minorHAnsi"/>
          <w:color w:val="212B32"/>
          <w:shd w:val="clear" w:color="auto" w:fill="FFFFFF"/>
        </w:rPr>
        <w:t>4</w:t>
      </w:r>
      <w:r w:rsidRPr="0044044A">
        <w:rPr>
          <w:rFonts w:cstheme="minorHAnsi"/>
          <w:color w:val="212B32"/>
          <w:shd w:val="clear" w:color="auto" w:fill="FFFFFF"/>
        </w:rPr>
        <w:t xml:space="preserve"> nurses, a paramedic</w:t>
      </w:r>
      <w:r w:rsidR="00D7358D" w:rsidRPr="0044044A">
        <w:rPr>
          <w:rFonts w:cstheme="minorHAnsi"/>
          <w:color w:val="212B32"/>
          <w:shd w:val="clear" w:color="auto" w:fill="FFFFFF"/>
        </w:rPr>
        <w:t xml:space="preserve"> and</w:t>
      </w:r>
      <w:r w:rsidRPr="0044044A">
        <w:rPr>
          <w:rFonts w:cstheme="minorHAnsi"/>
          <w:color w:val="212B32"/>
          <w:shd w:val="clear" w:color="auto" w:fill="FFFFFF"/>
        </w:rPr>
        <w:t xml:space="preserve"> </w:t>
      </w:r>
      <w:r w:rsidR="00E6740A" w:rsidRPr="0044044A">
        <w:rPr>
          <w:rFonts w:cstheme="minorHAnsi"/>
          <w:color w:val="212B32"/>
          <w:shd w:val="clear" w:color="auto" w:fill="FFFFFF"/>
        </w:rPr>
        <w:t>3</w:t>
      </w:r>
      <w:r w:rsidRPr="0044044A">
        <w:rPr>
          <w:rFonts w:cstheme="minorHAnsi"/>
          <w:color w:val="212B32"/>
          <w:shd w:val="clear" w:color="auto" w:fill="FFFFFF"/>
        </w:rPr>
        <w:t xml:space="preserve"> HCAs who are supported by staff from across our local PCN including pharmacists,</w:t>
      </w:r>
      <w:r w:rsidR="00E6740A" w:rsidRPr="0044044A">
        <w:rPr>
          <w:rFonts w:cstheme="minorHAnsi"/>
          <w:color w:val="212B32"/>
          <w:shd w:val="clear" w:color="auto" w:fill="FFFFFF"/>
        </w:rPr>
        <w:t xml:space="preserve"> </w:t>
      </w:r>
      <w:r w:rsidRPr="0044044A">
        <w:rPr>
          <w:rFonts w:cstheme="minorHAnsi"/>
          <w:color w:val="212B32"/>
          <w:shd w:val="clear" w:color="auto" w:fill="FFFFFF"/>
        </w:rPr>
        <w:t>physiotherapists, and mental health OTs. We also have a large, supportive administration/managerial team. As well as working in a great team, a recent extension and refurbishment programme provides an excellent environment in which to work.</w:t>
      </w:r>
    </w:p>
    <w:p w14:paraId="7ECA4320" w14:textId="77777777" w:rsidR="00CD301E" w:rsidRPr="0044044A" w:rsidRDefault="00CD301E">
      <w:pPr>
        <w:rPr>
          <w:rFonts w:cstheme="minorHAnsi"/>
          <w:b/>
          <w:bCs/>
        </w:rPr>
      </w:pPr>
    </w:p>
    <w:p w14:paraId="735F2ABB" w14:textId="307E1F4F" w:rsidR="001741D3" w:rsidRPr="0044044A" w:rsidRDefault="00E6740A">
      <w:pPr>
        <w:rPr>
          <w:rFonts w:cstheme="minorHAnsi"/>
          <w:b/>
          <w:bCs/>
        </w:rPr>
      </w:pPr>
      <w:r w:rsidRPr="0044044A">
        <w:rPr>
          <w:rFonts w:cstheme="minorHAnsi"/>
          <w:b/>
          <w:bCs/>
        </w:rPr>
        <w:t>Primary Duties and Areas of Responsibility</w:t>
      </w:r>
    </w:p>
    <w:p w14:paraId="0A7B5D50" w14:textId="1D1AA315" w:rsidR="00D7358D" w:rsidRPr="0044044A" w:rsidRDefault="00D7358D" w:rsidP="00EA26A0">
      <w:pPr>
        <w:spacing w:before="60"/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>The following are the core responsibilities of the Salaried GP. There may be, on occasion, a requirement to carry out other tasks; this will be dependent upon factors such as workload and staffing levels:</w:t>
      </w:r>
    </w:p>
    <w:p w14:paraId="4DFAFD99" w14:textId="28E0B0E1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>The delivery of highly effective medical care to the entitled population</w:t>
      </w:r>
    </w:p>
    <w:p w14:paraId="122F1D83" w14:textId="4E546B64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>The provision of services commensurate with the primary care contract</w:t>
      </w:r>
    </w:p>
    <w:p w14:paraId="741B0C1F" w14:textId="346A843C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>Generic prescribing adhering to local and national guidance</w:t>
      </w:r>
    </w:p>
    <w:p w14:paraId="2354CD08" w14:textId="73664140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>Effective management of long-term conditions</w:t>
      </w:r>
    </w:p>
    <w:p w14:paraId="4F30B69F" w14:textId="37B0F712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 xml:space="preserve">Processing of administration in a timely manner, including referrals, repeat prescription requests and other associated administrative </w:t>
      </w:r>
      <w:proofErr w:type="gramStart"/>
      <w:r w:rsidRPr="0044044A">
        <w:rPr>
          <w:rFonts w:cstheme="minorHAnsi"/>
          <w:lang w:val="en-US"/>
        </w:rPr>
        <w:t>tasks</w:t>
      </w:r>
      <w:proofErr w:type="gramEnd"/>
    </w:p>
    <w:p w14:paraId="57264017" w14:textId="4479495A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 xml:space="preserve">On a rotational basis, undertake telephone triage and duty doctor </w:t>
      </w:r>
      <w:proofErr w:type="gramStart"/>
      <w:r w:rsidRPr="0044044A">
        <w:rPr>
          <w:rFonts w:cstheme="minorHAnsi"/>
          <w:lang w:val="en-US"/>
        </w:rPr>
        <w:t>roles</w:t>
      </w:r>
      <w:proofErr w:type="gramEnd"/>
    </w:p>
    <w:p w14:paraId="4271F7FB" w14:textId="7A713151" w:rsidR="00994902" w:rsidRPr="0044044A" w:rsidRDefault="00994902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>Home Visits</w:t>
      </w:r>
    </w:p>
    <w:p w14:paraId="46E07CB4" w14:textId="140CBCD1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 xml:space="preserve">Maintain accurate clinical records in conjunction with good practice, policy and </w:t>
      </w:r>
      <w:proofErr w:type="gramStart"/>
      <w:r w:rsidRPr="0044044A">
        <w:rPr>
          <w:rFonts w:cstheme="minorHAnsi"/>
          <w:lang w:val="en-US"/>
        </w:rPr>
        <w:t>guidance</w:t>
      </w:r>
      <w:proofErr w:type="gramEnd"/>
    </w:p>
    <w:p w14:paraId="4A19902C" w14:textId="000F04DF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lastRenderedPageBreak/>
        <w:t xml:space="preserve">Work collaboratively, accepting an equal share of the practice </w:t>
      </w:r>
      <w:proofErr w:type="gramStart"/>
      <w:r w:rsidRPr="0044044A">
        <w:rPr>
          <w:rFonts w:cstheme="minorHAnsi"/>
          <w:lang w:val="en-US"/>
        </w:rPr>
        <w:t>workload</w:t>
      </w:r>
      <w:proofErr w:type="gramEnd"/>
    </w:p>
    <w:p w14:paraId="50285B8D" w14:textId="35C80CF0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 xml:space="preserve">Adhere to best practice recommended through clinical guidelines and the audit </w:t>
      </w:r>
      <w:proofErr w:type="gramStart"/>
      <w:r w:rsidRPr="0044044A">
        <w:rPr>
          <w:rFonts w:cstheme="minorHAnsi"/>
          <w:lang w:val="en-US"/>
        </w:rPr>
        <w:t>process</w:t>
      </w:r>
      <w:proofErr w:type="gramEnd"/>
    </w:p>
    <w:p w14:paraId="5BEB99A2" w14:textId="3DE59CD5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 xml:space="preserve">Contribute to the successful implementation of continuous improvement and quality initiatives within the </w:t>
      </w:r>
      <w:proofErr w:type="gramStart"/>
      <w:r w:rsidRPr="0044044A">
        <w:rPr>
          <w:rFonts w:cstheme="minorHAnsi"/>
          <w:lang w:val="en-US"/>
        </w:rPr>
        <w:t>practice</w:t>
      </w:r>
      <w:proofErr w:type="gramEnd"/>
    </w:p>
    <w:p w14:paraId="41FFE32C" w14:textId="17D14375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 xml:space="preserve">Attend and contribute effectively to practice meetings as </w:t>
      </w:r>
      <w:proofErr w:type="gramStart"/>
      <w:r w:rsidRPr="0044044A">
        <w:rPr>
          <w:rFonts w:cstheme="minorHAnsi"/>
          <w:lang w:val="en-US"/>
        </w:rPr>
        <w:t>required</w:t>
      </w:r>
      <w:proofErr w:type="gramEnd"/>
    </w:p>
    <w:p w14:paraId="6F432426" w14:textId="60039545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 xml:space="preserve">Contribute effective to the development and maintenance of the practice including clinical governance and </w:t>
      </w:r>
      <w:proofErr w:type="gramStart"/>
      <w:r w:rsidRPr="0044044A">
        <w:rPr>
          <w:rFonts w:cstheme="minorHAnsi"/>
          <w:lang w:val="en-US"/>
        </w:rPr>
        <w:t>training</w:t>
      </w:r>
      <w:proofErr w:type="gramEnd"/>
    </w:p>
    <w:p w14:paraId="7C227F6D" w14:textId="7233972C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 xml:space="preserve">Ensure compliance with the appraisal </w:t>
      </w:r>
      <w:proofErr w:type="gramStart"/>
      <w:r w:rsidRPr="0044044A">
        <w:rPr>
          <w:rFonts w:cstheme="minorHAnsi"/>
          <w:lang w:val="en-US"/>
        </w:rPr>
        <w:t>process</w:t>
      </w:r>
      <w:proofErr w:type="gramEnd"/>
    </w:p>
    <w:p w14:paraId="7C648395" w14:textId="02F2A1C0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 xml:space="preserve">Prepare and complete the revalidation </w:t>
      </w:r>
      <w:proofErr w:type="gramStart"/>
      <w:r w:rsidRPr="0044044A">
        <w:rPr>
          <w:rFonts w:cstheme="minorHAnsi"/>
          <w:lang w:val="en-US"/>
        </w:rPr>
        <w:t>process</w:t>
      </w:r>
      <w:proofErr w:type="gramEnd"/>
    </w:p>
    <w:p w14:paraId="515F552E" w14:textId="5B379A8B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 xml:space="preserve">Commit to self-learning and </w:t>
      </w:r>
      <w:proofErr w:type="spellStart"/>
      <w:r w:rsidRPr="0044044A">
        <w:rPr>
          <w:rFonts w:cstheme="minorHAnsi"/>
          <w:lang w:val="en-US"/>
        </w:rPr>
        <w:t>instil</w:t>
      </w:r>
      <w:proofErr w:type="spellEnd"/>
      <w:r w:rsidRPr="0044044A">
        <w:rPr>
          <w:rFonts w:cstheme="minorHAnsi"/>
          <w:lang w:val="en-US"/>
        </w:rPr>
        <w:t xml:space="preserve"> an ethos of continuing professional development across the practice </w:t>
      </w:r>
      <w:proofErr w:type="gramStart"/>
      <w:r w:rsidRPr="0044044A">
        <w:rPr>
          <w:rFonts w:cstheme="minorHAnsi"/>
          <w:lang w:val="en-US"/>
        </w:rPr>
        <w:t>team</w:t>
      </w:r>
      <w:proofErr w:type="gramEnd"/>
    </w:p>
    <w:p w14:paraId="077F2C31" w14:textId="296516FA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 xml:space="preserve">Support the training of medical students from all clinical </w:t>
      </w:r>
      <w:proofErr w:type="gramStart"/>
      <w:r w:rsidRPr="0044044A">
        <w:rPr>
          <w:rFonts w:cstheme="minorHAnsi"/>
          <w:lang w:val="en-US"/>
        </w:rPr>
        <w:t>disciplines</w:t>
      </w:r>
      <w:proofErr w:type="gramEnd"/>
    </w:p>
    <w:p w14:paraId="4468ECF2" w14:textId="2E10DC70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 xml:space="preserve">Support the partners in achieving the strategic aims of the practice, making recommendations to enhance income and reduce </w:t>
      </w:r>
      <w:proofErr w:type="gramStart"/>
      <w:r w:rsidRPr="0044044A">
        <w:rPr>
          <w:rFonts w:cstheme="minorHAnsi"/>
          <w:lang w:val="en-US"/>
        </w:rPr>
        <w:t>expenditure</w:t>
      </w:r>
      <w:proofErr w:type="gramEnd"/>
    </w:p>
    <w:p w14:paraId="0026663B" w14:textId="7ED3B468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 xml:space="preserve">Review and always adhere to practice protocols and </w:t>
      </w:r>
      <w:proofErr w:type="gramStart"/>
      <w:r w:rsidRPr="0044044A">
        <w:rPr>
          <w:rFonts w:cstheme="minorHAnsi"/>
          <w:lang w:val="en-US"/>
        </w:rPr>
        <w:t>policies</w:t>
      </w:r>
      <w:proofErr w:type="gramEnd"/>
    </w:p>
    <w:p w14:paraId="0A7DDBEB" w14:textId="77777777" w:rsidR="00D7358D" w:rsidRPr="0044044A" w:rsidRDefault="00D7358D" w:rsidP="00EA26A0">
      <w:pPr>
        <w:pStyle w:val="ListParagraph"/>
        <w:numPr>
          <w:ilvl w:val="0"/>
          <w:numId w:val="23"/>
        </w:numPr>
        <w:rPr>
          <w:rFonts w:cstheme="minorHAnsi"/>
          <w:lang w:val="en-US"/>
        </w:rPr>
      </w:pPr>
      <w:r w:rsidRPr="0044044A">
        <w:rPr>
          <w:rFonts w:cstheme="minorHAnsi"/>
          <w:lang w:val="en-US"/>
        </w:rPr>
        <w:t xml:space="preserve">Encourage collaborative working, liaising with all staff regularly, always promoting a culture of continuous </w:t>
      </w:r>
      <w:proofErr w:type="gramStart"/>
      <w:r w:rsidRPr="0044044A">
        <w:rPr>
          <w:rFonts w:cstheme="minorHAnsi"/>
          <w:lang w:val="en-US"/>
        </w:rPr>
        <w:t>improvement</w:t>
      </w:r>
      <w:proofErr w:type="gramEnd"/>
    </w:p>
    <w:p w14:paraId="1F75BDBD" w14:textId="77777777" w:rsidR="002F6DDB" w:rsidRPr="0044044A" w:rsidRDefault="002F6DDB" w:rsidP="002F6DDB">
      <w:pPr>
        <w:rPr>
          <w:rFonts w:cstheme="minorHAnsi"/>
          <w:lang w:val="en-US"/>
        </w:rPr>
      </w:pPr>
    </w:p>
    <w:p w14:paraId="523A3A7A" w14:textId="3F8DA272" w:rsidR="00D7358D" w:rsidRPr="0044044A" w:rsidRDefault="002F6DDB">
      <w:pPr>
        <w:rPr>
          <w:rFonts w:cstheme="minorHAnsi"/>
          <w:b/>
          <w:bCs/>
          <w:lang w:val="en-US"/>
        </w:rPr>
      </w:pPr>
      <w:r w:rsidRPr="0044044A">
        <w:rPr>
          <w:rFonts w:cstheme="minorHAnsi"/>
          <w:b/>
          <w:bCs/>
          <w:lang w:val="en-US"/>
        </w:rPr>
        <w:t xml:space="preserve">Secondary Responsibilities </w:t>
      </w:r>
    </w:p>
    <w:p w14:paraId="1686E0CE" w14:textId="78838F21" w:rsidR="002F6DDB" w:rsidRPr="0044044A" w:rsidRDefault="002F6DDB" w:rsidP="002F6DDB">
      <w:pPr>
        <w:spacing w:before="60"/>
        <w:rPr>
          <w:rFonts w:cstheme="minorHAnsi"/>
        </w:rPr>
      </w:pPr>
      <w:r w:rsidRPr="0044044A">
        <w:rPr>
          <w:rFonts w:cstheme="minorHAnsi"/>
        </w:rPr>
        <w:t>In addition to the primary responsibilities, the salaried GP may be requested to:</w:t>
      </w:r>
    </w:p>
    <w:p w14:paraId="55CA6E21" w14:textId="1E04F73D" w:rsidR="002F6DDB" w:rsidRPr="0044044A" w:rsidRDefault="002F6DDB" w:rsidP="002F6DDB">
      <w:pPr>
        <w:pStyle w:val="ListParagraph"/>
        <w:numPr>
          <w:ilvl w:val="0"/>
          <w:numId w:val="21"/>
        </w:numPr>
        <w:snapToGrid w:val="0"/>
        <w:rPr>
          <w:rFonts w:cstheme="minorHAnsi"/>
        </w:rPr>
      </w:pPr>
      <w:r w:rsidRPr="0044044A">
        <w:rPr>
          <w:rFonts w:cstheme="minorHAnsi"/>
        </w:rPr>
        <w:t xml:space="preserve">Participate in practice audits as requested by the audit </w:t>
      </w:r>
      <w:proofErr w:type="gramStart"/>
      <w:r w:rsidRPr="0044044A">
        <w:rPr>
          <w:rFonts w:cstheme="minorHAnsi"/>
        </w:rPr>
        <w:t>lead</w:t>
      </w:r>
      <w:proofErr w:type="gramEnd"/>
    </w:p>
    <w:p w14:paraId="76F427C9" w14:textId="271B04E1" w:rsidR="002F6DDB" w:rsidRPr="0044044A" w:rsidRDefault="002F6DDB" w:rsidP="002F6DDB">
      <w:pPr>
        <w:pStyle w:val="ListParagraph"/>
        <w:numPr>
          <w:ilvl w:val="0"/>
          <w:numId w:val="21"/>
        </w:numPr>
        <w:snapToGrid w:val="0"/>
        <w:rPr>
          <w:rFonts w:cstheme="minorHAnsi"/>
        </w:rPr>
      </w:pPr>
      <w:r w:rsidRPr="0044044A">
        <w:rPr>
          <w:rFonts w:cstheme="minorHAnsi"/>
        </w:rPr>
        <w:t xml:space="preserve">Participate in local initiatives to enhance service delivery and patient </w:t>
      </w:r>
      <w:proofErr w:type="gramStart"/>
      <w:r w:rsidRPr="0044044A">
        <w:rPr>
          <w:rFonts w:cstheme="minorHAnsi"/>
        </w:rPr>
        <w:t>care</w:t>
      </w:r>
      <w:proofErr w:type="gramEnd"/>
    </w:p>
    <w:p w14:paraId="0FA74E45" w14:textId="77777777" w:rsidR="002F6DDB" w:rsidRPr="0044044A" w:rsidRDefault="002F6DDB" w:rsidP="002F6DDB">
      <w:pPr>
        <w:pStyle w:val="ListParagraph"/>
        <w:numPr>
          <w:ilvl w:val="0"/>
          <w:numId w:val="21"/>
        </w:numPr>
        <w:snapToGrid w:val="0"/>
        <w:rPr>
          <w:rFonts w:cstheme="minorHAnsi"/>
          <w:u w:val="single"/>
        </w:rPr>
      </w:pPr>
      <w:r w:rsidRPr="0044044A">
        <w:rPr>
          <w:rFonts w:cstheme="minorHAnsi"/>
        </w:rPr>
        <w:t>Participate in the review of significant and near-miss events applying a structured approach i.e., root cause analysis (RCA)</w:t>
      </w:r>
    </w:p>
    <w:p w14:paraId="4F2BA83E" w14:textId="77777777" w:rsidR="00CD301E" w:rsidRPr="0044044A" w:rsidRDefault="00CD301E" w:rsidP="00B529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8A2D53" w14:textId="5C1FE00A" w:rsidR="002F6DDB" w:rsidRPr="0044044A" w:rsidRDefault="002F6DDB" w:rsidP="00B5292A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044A">
        <w:rPr>
          <w:rFonts w:asciiTheme="minorHAnsi" w:hAnsiTheme="minorHAnsi" w:cstheme="minorHAnsi"/>
          <w:b/>
          <w:bCs/>
          <w:sz w:val="22"/>
          <w:szCs w:val="22"/>
        </w:rPr>
        <w:t>Qualifications</w:t>
      </w:r>
    </w:p>
    <w:p w14:paraId="28292BE0" w14:textId="78B4DD76" w:rsidR="002F6DDB" w:rsidRPr="0044044A" w:rsidRDefault="002F6DDB" w:rsidP="00B5292A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044A">
        <w:rPr>
          <w:rFonts w:asciiTheme="minorHAnsi" w:hAnsiTheme="minorHAnsi" w:cstheme="minorHAnsi"/>
          <w:b/>
          <w:bCs/>
          <w:sz w:val="22"/>
          <w:szCs w:val="22"/>
        </w:rPr>
        <w:t>Essential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EA26A0" w:rsidRPr="0044044A" w14:paraId="65DF7A2E" w14:textId="77777777" w:rsidTr="00EA26A0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D8AF" w14:textId="77777777" w:rsidR="00EA26A0" w:rsidRPr="0044044A" w:rsidRDefault="00EA26A0">
            <w:pPr>
              <w:tabs>
                <w:tab w:val="left" w:pos="1632"/>
              </w:tabs>
              <w:snapToGri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Qualified GP</w:t>
            </w:r>
          </w:p>
        </w:tc>
      </w:tr>
      <w:tr w:rsidR="00EA26A0" w:rsidRPr="0044044A" w14:paraId="5F19223F" w14:textId="77777777" w:rsidTr="00EA26A0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10ED" w14:textId="77777777" w:rsidR="00EA26A0" w:rsidRPr="0044044A" w:rsidRDefault="00EA26A0">
            <w:pPr>
              <w:tabs>
                <w:tab w:val="left" w:pos="1632"/>
              </w:tabs>
              <w:snapToGri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MRCGP</w:t>
            </w:r>
          </w:p>
        </w:tc>
      </w:tr>
      <w:tr w:rsidR="00EA26A0" w:rsidRPr="0044044A" w14:paraId="5AAB475E" w14:textId="77777777" w:rsidTr="00EA26A0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B608" w14:textId="77777777" w:rsidR="00EA26A0" w:rsidRPr="0044044A" w:rsidRDefault="00EA26A0">
            <w:pPr>
              <w:tabs>
                <w:tab w:val="left" w:pos="1632"/>
              </w:tabs>
              <w:snapToGri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Vocational Training Certificate or equivalent JCPTGP</w:t>
            </w:r>
          </w:p>
        </w:tc>
      </w:tr>
      <w:tr w:rsidR="00EA26A0" w:rsidRPr="0044044A" w14:paraId="115B2213" w14:textId="77777777" w:rsidTr="00EA26A0">
        <w:trPr>
          <w:trHeight w:val="31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C1A7" w14:textId="77777777" w:rsidR="00EA26A0" w:rsidRPr="0044044A" w:rsidRDefault="00EA26A0">
            <w:pPr>
              <w:tabs>
                <w:tab w:val="left" w:pos="1632"/>
              </w:tabs>
              <w:snapToGri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General Practitioner (Certificate of Completion of Training CCT)</w:t>
            </w:r>
          </w:p>
        </w:tc>
      </w:tr>
    </w:tbl>
    <w:p w14:paraId="06EB00B1" w14:textId="77777777" w:rsidR="002F6DDB" w:rsidRPr="0044044A" w:rsidRDefault="002F6DDB" w:rsidP="00B529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14F1E7" w14:textId="54C0CC82" w:rsidR="002F6DDB" w:rsidRPr="0044044A" w:rsidRDefault="002F6DDB" w:rsidP="00B5292A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044A">
        <w:rPr>
          <w:rFonts w:asciiTheme="minorHAnsi" w:hAnsiTheme="minorHAnsi" w:cstheme="minorHAnsi"/>
          <w:b/>
          <w:bCs/>
          <w:sz w:val="22"/>
          <w:szCs w:val="22"/>
        </w:rPr>
        <w:t>Eligibility</w:t>
      </w:r>
    </w:p>
    <w:p w14:paraId="13F11818" w14:textId="0C45D7C8" w:rsidR="002F6DDB" w:rsidRPr="0044044A" w:rsidRDefault="002F6DDB" w:rsidP="00B5292A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044A">
        <w:rPr>
          <w:rFonts w:asciiTheme="minorHAnsi" w:hAnsiTheme="minorHAnsi" w:cstheme="minorHAnsi"/>
          <w:b/>
          <w:bCs/>
          <w:sz w:val="22"/>
          <w:szCs w:val="22"/>
        </w:rPr>
        <w:t>Essential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EA26A0" w:rsidRPr="0044044A" w14:paraId="619B7A73" w14:textId="77777777" w:rsidTr="00EA26A0">
        <w:trPr>
          <w:trHeight w:val="31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6C10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Full GMC registration</w:t>
            </w:r>
          </w:p>
        </w:tc>
      </w:tr>
      <w:tr w:rsidR="00EA26A0" w:rsidRPr="0044044A" w14:paraId="5539E41B" w14:textId="77777777" w:rsidTr="00EA26A0">
        <w:trPr>
          <w:trHeight w:val="31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8969" w14:textId="77777777" w:rsidR="00EA26A0" w:rsidRPr="0044044A" w:rsidRDefault="0044044A" w:rsidP="00EA26A0">
            <w:pPr>
              <w:pStyle w:val="ListParagraph"/>
              <w:numPr>
                <w:ilvl w:val="0"/>
                <w:numId w:val="22"/>
              </w:numPr>
              <w:tabs>
                <w:tab w:val="left" w:pos="1632"/>
              </w:tabs>
              <w:spacing w:before="60" w:after="60"/>
              <w:ind w:left="460" w:hanging="283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EA26A0" w:rsidRPr="004404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National Performers List registration</w:t>
              </w:r>
            </w:hyperlink>
            <w:r w:rsidR="00EA26A0" w:rsidRPr="0044044A">
              <w:rPr>
                <w:rFonts w:asciiTheme="minorHAnsi" w:hAnsiTheme="minorHAnsi" w:cstheme="minorHAnsi"/>
                <w:sz w:val="22"/>
                <w:szCs w:val="22"/>
              </w:rPr>
              <w:t xml:space="preserve"> (England), noting that confirmation on this list is adequate for DBS </w:t>
            </w:r>
            <w:proofErr w:type="gramStart"/>
            <w:r w:rsidR="00EA26A0" w:rsidRPr="0044044A">
              <w:rPr>
                <w:rFonts w:asciiTheme="minorHAnsi" w:hAnsiTheme="minorHAnsi" w:cstheme="minorHAnsi"/>
                <w:sz w:val="22"/>
                <w:szCs w:val="22"/>
              </w:rPr>
              <w:t>confirmation</w:t>
            </w:r>
            <w:proofErr w:type="gramEnd"/>
          </w:p>
          <w:p w14:paraId="63654FBE" w14:textId="77777777" w:rsidR="00EA26A0" w:rsidRPr="0044044A" w:rsidRDefault="0044044A" w:rsidP="00EA26A0">
            <w:pPr>
              <w:pStyle w:val="ListParagraph"/>
              <w:numPr>
                <w:ilvl w:val="0"/>
                <w:numId w:val="22"/>
              </w:numPr>
              <w:tabs>
                <w:tab w:val="left" w:pos="1632"/>
              </w:tabs>
              <w:spacing w:before="60" w:after="60"/>
              <w:ind w:left="460" w:hanging="283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EA26A0" w:rsidRPr="004404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Primary Medical Services Performers Lists</w:t>
              </w:r>
            </w:hyperlink>
            <w:r w:rsidR="00EA26A0" w:rsidRPr="0044044A">
              <w:rPr>
                <w:rFonts w:asciiTheme="minorHAnsi" w:hAnsiTheme="minorHAnsi" w:cstheme="minorHAnsi"/>
                <w:sz w:val="22"/>
                <w:szCs w:val="22"/>
              </w:rPr>
              <w:t xml:space="preserve"> (Scotland)</w:t>
            </w:r>
          </w:p>
          <w:p w14:paraId="40B11A9E" w14:textId="77777777" w:rsidR="00EA26A0" w:rsidRPr="0044044A" w:rsidRDefault="0044044A" w:rsidP="00EA26A0">
            <w:pPr>
              <w:pStyle w:val="ListParagraph"/>
              <w:numPr>
                <w:ilvl w:val="0"/>
                <w:numId w:val="22"/>
              </w:numPr>
              <w:tabs>
                <w:tab w:val="left" w:pos="1632"/>
              </w:tabs>
              <w:spacing w:before="60" w:after="60"/>
              <w:ind w:left="460" w:hanging="283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EA26A0" w:rsidRPr="004404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All Wales Medical Performers List and All Wales Locum Register</w:t>
              </w:r>
            </w:hyperlink>
            <w:r w:rsidR="00EA26A0" w:rsidRPr="0044044A">
              <w:rPr>
                <w:rFonts w:asciiTheme="minorHAnsi" w:hAnsiTheme="minorHAnsi" w:cstheme="minorHAnsi"/>
                <w:sz w:val="22"/>
                <w:szCs w:val="22"/>
              </w:rPr>
              <w:t xml:space="preserve"> (Wales)</w:t>
            </w:r>
          </w:p>
          <w:p w14:paraId="6556FD22" w14:textId="77777777" w:rsidR="00EA26A0" w:rsidRPr="0044044A" w:rsidRDefault="0044044A" w:rsidP="00EA26A0">
            <w:pPr>
              <w:pStyle w:val="ListParagraph"/>
              <w:numPr>
                <w:ilvl w:val="0"/>
                <w:numId w:val="22"/>
              </w:numPr>
              <w:tabs>
                <w:tab w:val="left" w:pos="1632"/>
              </w:tabs>
              <w:spacing w:before="60" w:after="60"/>
              <w:ind w:left="460" w:hanging="283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EA26A0" w:rsidRPr="0044044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Northern Ireland Primary Medical Performers List (PMPL)</w:t>
              </w:r>
            </w:hyperlink>
            <w:r w:rsidR="00EA26A0" w:rsidRPr="0044044A">
              <w:rPr>
                <w:rFonts w:asciiTheme="minorHAnsi" w:hAnsiTheme="minorHAnsi" w:cstheme="minorHAnsi"/>
                <w:sz w:val="22"/>
                <w:szCs w:val="22"/>
              </w:rPr>
              <w:t xml:space="preserve"> (Northern Ireland)</w:t>
            </w:r>
          </w:p>
        </w:tc>
      </w:tr>
      <w:tr w:rsidR="00EA26A0" w:rsidRPr="0044044A" w14:paraId="385F0C56" w14:textId="77777777" w:rsidTr="00EA26A0">
        <w:trPr>
          <w:trHeight w:val="31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C916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 xml:space="preserve">Appropriate </w:t>
            </w:r>
            <w:proofErr w:type="spellStart"/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defence</w:t>
            </w:r>
            <w:proofErr w:type="spellEnd"/>
            <w:r w:rsidRPr="0044044A">
              <w:rPr>
                <w:rFonts w:asciiTheme="minorHAnsi" w:hAnsiTheme="minorHAnsi" w:cstheme="minorHAnsi"/>
                <w:sz w:val="22"/>
                <w:szCs w:val="22"/>
              </w:rPr>
              <w:t xml:space="preserve"> indemnity (MPS/MDU)</w:t>
            </w:r>
          </w:p>
        </w:tc>
      </w:tr>
      <w:tr w:rsidR="00EA26A0" w:rsidRPr="0044044A" w14:paraId="2725159D" w14:textId="77777777" w:rsidTr="00EA26A0">
        <w:trPr>
          <w:trHeight w:val="31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13B0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Evidence of current validation</w:t>
            </w:r>
          </w:p>
        </w:tc>
      </w:tr>
      <w:tr w:rsidR="00EA26A0" w:rsidRPr="0044044A" w14:paraId="23AB926A" w14:textId="77777777" w:rsidTr="00EA26A0">
        <w:trPr>
          <w:trHeight w:val="31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F73C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Evidence of last appraisal</w:t>
            </w:r>
          </w:p>
        </w:tc>
      </w:tr>
      <w:tr w:rsidR="00EA26A0" w:rsidRPr="0044044A" w14:paraId="4E96C82F" w14:textId="77777777" w:rsidTr="00EA26A0">
        <w:trPr>
          <w:trHeight w:val="31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A947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Eligibility to practice in the UK independently</w:t>
            </w:r>
          </w:p>
        </w:tc>
      </w:tr>
    </w:tbl>
    <w:p w14:paraId="6458E758" w14:textId="77777777" w:rsidR="003223CE" w:rsidRPr="0044044A" w:rsidRDefault="003223CE" w:rsidP="00B529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F83518F" w14:textId="77777777" w:rsidR="00994902" w:rsidRDefault="00994902" w:rsidP="00B529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CC4D6A" w14:textId="77777777" w:rsidR="0044044A" w:rsidRDefault="0044044A" w:rsidP="00B529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8336B7" w14:textId="77777777" w:rsidR="0044044A" w:rsidRPr="0044044A" w:rsidRDefault="0044044A" w:rsidP="00B529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2405CB" w14:textId="34E24992" w:rsidR="003223CE" w:rsidRPr="0044044A" w:rsidRDefault="003223CE" w:rsidP="00B5292A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044A">
        <w:rPr>
          <w:rFonts w:asciiTheme="minorHAnsi" w:hAnsiTheme="minorHAnsi" w:cstheme="minorHAnsi"/>
          <w:b/>
          <w:bCs/>
          <w:sz w:val="22"/>
          <w:szCs w:val="22"/>
        </w:rPr>
        <w:lastRenderedPageBreak/>
        <w:t>Experience</w:t>
      </w:r>
    </w:p>
    <w:p w14:paraId="2F437F64" w14:textId="029CD0BF" w:rsidR="003223CE" w:rsidRPr="0044044A" w:rsidRDefault="003223CE" w:rsidP="00B5292A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044A">
        <w:rPr>
          <w:rFonts w:asciiTheme="minorHAnsi" w:hAnsiTheme="minorHAnsi" w:cstheme="minorHAnsi"/>
          <w:b/>
          <w:bCs/>
          <w:sz w:val="22"/>
          <w:szCs w:val="22"/>
        </w:rPr>
        <w:t>Essential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60"/>
      </w:tblGrid>
      <w:tr w:rsidR="00EA26A0" w:rsidRPr="0044044A" w14:paraId="7C67243C" w14:textId="77777777" w:rsidTr="00EA26A0">
        <w:trPr>
          <w:trHeight w:val="31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4F1E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Experience of working in a primary care environment</w:t>
            </w:r>
          </w:p>
        </w:tc>
      </w:tr>
      <w:tr w:rsidR="00EA26A0" w:rsidRPr="0044044A" w14:paraId="65614F54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1932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Experience of continued professional development</w:t>
            </w:r>
          </w:p>
        </w:tc>
      </w:tr>
      <w:tr w:rsidR="00EA26A0" w:rsidRPr="0044044A" w14:paraId="20A012F5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443F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Experience of QOF and clinical audit</w:t>
            </w:r>
          </w:p>
        </w:tc>
      </w:tr>
      <w:tr w:rsidR="00EA26A0" w:rsidRPr="0044044A" w14:paraId="0F8C8D65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1453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 xml:space="preserve">Minimum of two years as a salaried GP </w:t>
            </w:r>
          </w:p>
        </w:tc>
      </w:tr>
      <w:tr w:rsidR="00EA26A0" w:rsidRPr="0044044A" w14:paraId="383B44D1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D9E7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General understanding of the primary care contract</w:t>
            </w:r>
          </w:p>
        </w:tc>
      </w:tr>
    </w:tbl>
    <w:p w14:paraId="5A281BEA" w14:textId="77777777" w:rsidR="00EA26A0" w:rsidRPr="0044044A" w:rsidRDefault="00EA26A0" w:rsidP="00B5292A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AA7ACD6" w14:textId="2703DC53" w:rsidR="00EA26A0" w:rsidRPr="0044044A" w:rsidRDefault="00EA26A0" w:rsidP="00B5292A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044A">
        <w:rPr>
          <w:rFonts w:asciiTheme="minorHAnsi" w:hAnsiTheme="minorHAnsi" w:cstheme="minorHAnsi"/>
          <w:b/>
          <w:bCs/>
          <w:sz w:val="22"/>
          <w:szCs w:val="22"/>
        </w:rPr>
        <w:t>Desirable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60"/>
      </w:tblGrid>
      <w:tr w:rsidR="00EA26A0" w:rsidRPr="0044044A" w14:paraId="2510CAA5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2D48" w14:textId="77777777" w:rsidR="00EA26A0" w:rsidRPr="0044044A" w:rsidRDefault="00EA26A0" w:rsidP="00B83F3D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Experience of medicines management</w:t>
            </w:r>
          </w:p>
        </w:tc>
      </w:tr>
      <w:tr w:rsidR="00EA26A0" w:rsidRPr="0044044A" w14:paraId="3F5E7D90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EB38" w14:textId="77777777" w:rsidR="00EA26A0" w:rsidRPr="0044044A" w:rsidRDefault="00EA26A0" w:rsidP="00B83F3D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 xml:space="preserve">Experience of ICB initiatives </w:t>
            </w:r>
          </w:p>
        </w:tc>
      </w:tr>
    </w:tbl>
    <w:p w14:paraId="106D6C0D" w14:textId="77777777" w:rsidR="00EA26A0" w:rsidRPr="0044044A" w:rsidRDefault="00EA26A0" w:rsidP="00B529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F5875B" w14:textId="77777777" w:rsidR="00EA26A0" w:rsidRPr="0044044A" w:rsidRDefault="00EA26A0" w:rsidP="00B5292A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044A">
        <w:rPr>
          <w:rFonts w:asciiTheme="minorHAnsi" w:hAnsiTheme="minorHAnsi" w:cstheme="minorHAnsi"/>
          <w:b/>
          <w:bCs/>
          <w:sz w:val="22"/>
          <w:szCs w:val="22"/>
        </w:rPr>
        <w:t xml:space="preserve">Skills </w:t>
      </w:r>
    </w:p>
    <w:p w14:paraId="6639B366" w14:textId="38239AC7" w:rsidR="003223CE" w:rsidRPr="0044044A" w:rsidRDefault="00EA26A0" w:rsidP="00B5292A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044A">
        <w:rPr>
          <w:rFonts w:asciiTheme="minorHAnsi" w:hAnsiTheme="minorHAnsi" w:cstheme="minorHAnsi"/>
          <w:b/>
          <w:bCs/>
          <w:sz w:val="22"/>
          <w:szCs w:val="22"/>
        </w:rPr>
        <w:t>Essential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60"/>
      </w:tblGrid>
      <w:tr w:rsidR="00EA26A0" w:rsidRPr="0044044A" w14:paraId="71840BFD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13EC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Excellent communication skills (written and oral)</w:t>
            </w:r>
          </w:p>
        </w:tc>
      </w:tr>
      <w:tr w:rsidR="00EA26A0" w:rsidRPr="0044044A" w14:paraId="5B99808E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DF25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Strong IT skills</w:t>
            </w:r>
          </w:p>
        </w:tc>
      </w:tr>
      <w:tr w:rsidR="00EA26A0" w:rsidRPr="0044044A" w14:paraId="4A1D79DA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BA01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Clear, polite telephone manner</w:t>
            </w:r>
          </w:p>
        </w:tc>
      </w:tr>
      <w:tr w:rsidR="00EA26A0" w:rsidRPr="0044044A" w14:paraId="75644D3C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7097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Competent in the use of Office and Outlook</w:t>
            </w:r>
          </w:p>
        </w:tc>
      </w:tr>
      <w:tr w:rsidR="00EA26A0" w:rsidRPr="0044044A" w14:paraId="5E9A2C4D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E4B8" w14:textId="1609E304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Systmone</w:t>
            </w:r>
            <w:proofErr w:type="spellEnd"/>
            <w:r w:rsidRPr="0044044A">
              <w:rPr>
                <w:rFonts w:asciiTheme="minorHAnsi" w:hAnsiTheme="minorHAnsi" w:cstheme="minorHAnsi"/>
                <w:sz w:val="22"/>
                <w:szCs w:val="22"/>
              </w:rPr>
              <w:t xml:space="preserve"> user skills</w:t>
            </w:r>
          </w:p>
        </w:tc>
      </w:tr>
      <w:tr w:rsidR="00EA26A0" w:rsidRPr="0044044A" w14:paraId="01730705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6E6C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 xml:space="preserve">Effective time management (planning and </w:t>
            </w:r>
            <w:proofErr w:type="spellStart"/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organising</w:t>
            </w:r>
            <w:proofErr w:type="spellEnd"/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A26A0" w:rsidRPr="0044044A" w14:paraId="36C4B234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FFDE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Ability to work as a team member and autonomously</w:t>
            </w:r>
          </w:p>
        </w:tc>
      </w:tr>
      <w:tr w:rsidR="00EA26A0" w:rsidRPr="0044044A" w14:paraId="08099B70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4FF8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Excellent interpersonal skills</w:t>
            </w:r>
          </w:p>
        </w:tc>
      </w:tr>
      <w:tr w:rsidR="00EA26A0" w:rsidRPr="0044044A" w14:paraId="61E2D3A7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CFF5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Problem solving and analytical skills</w:t>
            </w:r>
          </w:p>
        </w:tc>
      </w:tr>
      <w:tr w:rsidR="00EA26A0" w:rsidRPr="0044044A" w14:paraId="55ADD023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8C00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Ability to follow clinical policy and procedure</w:t>
            </w:r>
          </w:p>
        </w:tc>
      </w:tr>
      <w:tr w:rsidR="00EA26A0" w:rsidRPr="0044044A" w14:paraId="5C368ED1" w14:textId="77777777" w:rsidTr="00EA26A0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B7F9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Experience with clinical risk management</w:t>
            </w:r>
          </w:p>
        </w:tc>
      </w:tr>
    </w:tbl>
    <w:p w14:paraId="0D0DD745" w14:textId="77777777" w:rsidR="00EA26A0" w:rsidRPr="0044044A" w:rsidRDefault="00EA26A0" w:rsidP="00B529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6F00D2" w14:textId="059B2350" w:rsidR="002F6DDB" w:rsidRPr="0044044A" w:rsidRDefault="00EA26A0" w:rsidP="00B5292A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044A">
        <w:rPr>
          <w:rFonts w:asciiTheme="minorHAnsi" w:hAnsiTheme="minorHAnsi" w:cstheme="minorHAnsi"/>
          <w:b/>
          <w:bCs/>
          <w:sz w:val="22"/>
          <w:szCs w:val="22"/>
        </w:rPr>
        <w:t>Personal Qualities</w:t>
      </w:r>
    </w:p>
    <w:p w14:paraId="41EF6236" w14:textId="1E9AB51A" w:rsidR="00EA26A0" w:rsidRPr="0044044A" w:rsidRDefault="00EA26A0" w:rsidP="00EA26A0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044A">
        <w:rPr>
          <w:rFonts w:asciiTheme="minorHAnsi" w:hAnsiTheme="minorHAnsi" w:cstheme="minorHAnsi"/>
          <w:b/>
          <w:bCs/>
          <w:sz w:val="22"/>
          <w:szCs w:val="22"/>
        </w:rPr>
        <w:t>Essential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60"/>
      </w:tblGrid>
      <w:tr w:rsidR="00EA26A0" w:rsidRPr="0044044A" w14:paraId="632E0418" w14:textId="77777777" w:rsidTr="00EA26A0">
        <w:trPr>
          <w:trHeight w:val="23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D652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Polite and confident</w:t>
            </w:r>
          </w:p>
        </w:tc>
      </w:tr>
      <w:tr w:rsidR="00EA26A0" w:rsidRPr="0044044A" w14:paraId="3713D6FD" w14:textId="77777777" w:rsidTr="00EA26A0">
        <w:trPr>
          <w:trHeight w:val="23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F3AB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Flexible and cooperative</w:t>
            </w:r>
          </w:p>
        </w:tc>
      </w:tr>
      <w:tr w:rsidR="00EA26A0" w:rsidRPr="0044044A" w14:paraId="143727C0" w14:textId="77777777" w:rsidTr="00EA26A0">
        <w:trPr>
          <w:trHeight w:val="23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8918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Motivated, forward thinker</w:t>
            </w:r>
          </w:p>
        </w:tc>
      </w:tr>
      <w:tr w:rsidR="00EA26A0" w:rsidRPr="0044044A" w14:paraId="53DB7838" w14:textId="77777777" w:rsidTr="00EA26A0">
        <w:trPr>
          <w:trHeight w:val="23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B5E9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Problem solver with the ability to process information accurately and effectively, interpreting data as required</w:t>
            </w:r>
          </w:p>
        </w:tc>
      </w:tr>
      <w:tr w:rsidR="00EA26A0" w:rsidRPr="0044044A" w14:paraId="0391B097" w14:textId="77777777" w:rsidTr="00EA26A0">
        <w:trPr>
          <w:trHeight w:val="23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EE9D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High levels of integrity and loyalty</w:t>
            </w:r>
          </w:p>
        </w:tc>
      </w:tr>
      <w:tr w:rsidR="00EA26A0" w:rsidRPr="0044044A" w14:paraId="618C449E" w14:textId="77777777" w:rsidTr="00EA26A0">
        <w:trPr>
          <w:trHeight w:val="23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4323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Sensitive and empathetic in distressing situations</w:t>
            </w:r>
          </w:p>
        </w:tc>
      </w:tr>
      <w:tr w:rsidR="00EA26A0" w:rsidRPr="0044044A" w14:paraId="48CAF604" w14:textId="77777777" w:rsidTr="00EA26A0">
        <w:trPr>
          <w:trHeight w:val="23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565C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Ability to work under pressure/in stressful situations</w:t>
            </w:r>
          </w:p>
        </w:tc>
      </w:tr>
      <w:tr w:rsidR="00EA26A0" w:rsidRPr="0044044A" w14:paraId="779B7531" w14:textId="77777777" w:rsidTr="00EA26A0">
        <w:trPr>
          <w:trHeight w:val="23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D531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Effectively able to communicate and understand the needs of the patient</w:t>
            </w:r>
          </w:p>
        </w:tc>
      </w:tr>
      <w:tr w:rsidR="00EA26A0" w:rsidRPr="0044044A" w14:paraId="6C8134AE" w14:textId="77777777" w:rsidTr="00EA26A0">
        <w:trPr>
          <w:trHeight w:val="23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C214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Commitment to ongoing professional development</w:t>
            </w:r>
          </w:p>
        </w:tc>
      </w:tr>
      <w:tr w:rsidR="00EA26A0" w:rsidRPr="0044044A" w14:paraId="2632CC77" w14:textId="77777777" w:rsidTr="00EA26A0">
        <w:trPr>
          <w:trHeight w:val="29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F8FD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 xml:space="preserve">Effectively </w:t>
            </w:r>
            <w:proofErr w:type="spellStart"/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utilise</w:t>
            </w:r>
            <w:proofErr w:type="spellEnd"/>
            <w:r w:rsidRPr="0044044A">
              <w:rPr>
                <w:rFonts w:asciiTheme="minorHAnsi" w:hAnsiTheme="minorHAnsi" w:cstheme="minorHAnsi"/>
                <w:sz w:val="22"/>
                <w:szCs w:val="22"/>
              </w:rPr>
              <w:t xml:space="preserve"> resources</w:t>
            </w:r>
          </w:p>
        </w:tc>
      </w:tr>
      <w:tr w:rsidR="00EA26A0" w:rsidRPr="0044044A" w14:paraId="342374EE" w14:textId="77777777" w:rsidTr="00EA26A0">
        <w:trPr>
          <w:trHeight w:val="23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C0CF" w14:textId="77777777" w:rsidR="00EA26A0" w:rsidRPr="0044044A" w:rsidRDefault="00EA26A0">
            <w:pPr>
              <w:tabs>
                <w:tab w:val="left" w:pos="163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44A">
              <w:rPr>
                <w:rFonts w:asciiTheme="minorHAnsi" w:hAnsiTheme="minorHAnsi" w:cstheme="minorHAnsi"/>
                <w:sz w:val="22"/>
                <w:szCs w:val="22"/>
              </w:rPr>
              <w:t>Punctual and committed to supporting the team effort</w:t>
            </w:r>
          </w:p>
        </w:tc>
      </w:tr>
    </w:tbl>
    <w:p w14:paraId="33110B30" w14:textId="77777777" w:rsidR="00EA26A0" w:rsidRPr="0044044A" w:rsidRDefault="00EA26A0" w:rsidP="00EA26A0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FCC447" w14:textId="77777777" w:rsidR="002F6DDB" w:rsidRPr="0044044A" w:rsidRDefault="002F6DDB" w:rsidP="00B529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0B52DC" w14:textId="77777777" w:rsidR="00B5292A" w:rsidRPr="0044044A" w:rsidRDefault="00B5292A" w:rsidP="00B529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044A">
        <w:rPr>
          <w:rFonts w:asciiTheme="minorHAnsi" w:hAnsiTheme="minorHAnsi" w:cstheme="minorHAnsi"/>
          <w:b/>
          <w:bCs/>
          <w:sz w:val="22"/>
          <w:szCs w:val="22"/>
        </w:rPr>
        <w:t xml:space="preserve">Job Description Agreement </w:t>
      </w:r>
    </w:p>
    <w:p w14:paraId="1676B517" w14:textId="0660278F" w:rsidR="00B5292A" w:rsidRPr="0044044A" w:rsidRDefault="00B5292A" w:rsidP="00B529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044A">
        <w:rPr>
          <w:rFonts w:asciiTheme="minorHAnsi" w:hAnsiTheme="minorHAnsi" w:cstheme="minorHAnsi"/>
          <w:sz w:val="22"/>
          <w:szCs w:val="22"/>
        </w:rPr>
        <w:t xml:space="preserve">This job description is intended to provide an outline of the key tasks and responsibilities only. There may be other duties required of the post-holder commensurate with the position. This description will be open to regular review and may be amended to </w:t>
      </w:r>
      <w:r w:rsidR="00CD301E" w:rsidRPr="0044044A">
        <w:rPr>
          <w:rFonts w:asciiTheme="minorHAnsi" w:hAnsiTheme="minorHAnsi" w:cstheme="minorHAnsi"/>
          <w:sz w:val="22"/>
          <w:szCs w:val="22"/>
        </w:rPr>
        <w:t>consider</w:t>
      </w:r>
      <w:r w:rsidRPr="0044044A">
        <w:rPr>
          <w:rFonts w:asciiTheme="minorHAnsi" w:hAnsiTheme="minorHAnsi" w:cstheme="minorHAnsi"/>
          <w:sz w:val="22"/>
          <w:szCs w:val="22"/>
        </w:rPr>
        <w:t xml:space="preserve"> development within the Practice. All members of staff should be prepared to take on additional duties or relinquish existing duties </w:t>
      </w:r>
      <w:r w:rsidR="00CD301E" w:rsidRPr="0044044A">
        <w:rPr>
          <w:rFonts w:asciiTheme="minorHAnsi" w:hAnsiTheme="minorHAnsi" w:cstheme="minorHAnsi"/>
          <w:sz w:val="22"/>
          <w:szCs w:val="22"/>
        </w:rPr>
        <w:t>to</w:t>
      </w:r>
      <w:r w:rsidRPr="0044044A">
        <w:rPr>
          <w:rFonts w:asciiTheme="minorHAnsi" w:hAnsiTheme="minorHAnsi" w:cstheme="minorHAnsi"/>
          <w:sz w:val="22"/>
          <w:szCs w:val="22"/>
        </w:rPr>
        <w:t xml:space="preserve"> maintain the efficient running of the Practice. </w:t>
      </w:r>
    </w:p>
    <w:p w14:paraId="6C8F3A0F" w14:textId="77777777" w:rsidR="00B5292A" w:rsidRPr="0044044A" w:rsidRDefault="00B5292A" w:rsidP="00B529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7D636D" w14:textId="10955915" w:rsidR="00C35606" w:rsidRPr="0044044A" w:rsidRDefault="00B5292A" w:rsidP="00B5292A">
      <w:pPr>
        <w:rPr>
          <w:rFonts w:cstheme="minorHAnsi"/>
        </w:rPr>
      </w:pPr>
      <w:r w:rsidRPr="0044044A">
        <w:rPr>
          <w:rFonts w:cstheme="minorHAnsi"/>
          <w:b/>
          <w:bCs/>
        </w:rPr>
        <w:t xml:space="preserve">This job description is intended as a basic guide to the scope and responsibilities of the post and is not exhaustive. </w:t>
      </w:r>
    </w:p>
    <w:p w14:paraId="00BA3AB2" w14:textId="77777777" w:rsidR="006848E8" w:rsidRDefault="006848E8"/>
    <w:sectPr w:rsidR="006848E8" w:rsidSect="003F1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B321" w14:textId="77777777" w:rsidR="003F1C00" w:rsidRDefault="003F1C00" w:rsidP="003F1C00">
      <w:pPr>
        <w:spacing w:after="0" w:line="240" w:lineRule="auto"/>
      </w:pPr>
      <w:r>
        <w:separator/>
      </w:r>
    </w:p>
  </w:endnote>
  <w:endnote w:type="continuationSeparator" w:id="0">
    <w:p w14:paraId="7E5AF827" w14:textId="77777777" w:rsidR="003F1C00" w:rsidRDefault="003F1C00" w:rsidP="003F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16EA" w14:textId="77777777" w:rsidR="003F1C00" w:rsidRDefault="003F1C00" w:rsidP="003F1C00">
      <w:pPr>
        <w:spacing w:after="0" w:line="240" w:lineRule="auto"/>
      </w:pPr>
      <w:r>
        <w:separator/>
      </w:r>
    </w:p>
  </w:footnote>
  <w:footnote w:type="continuationSeparator" w:id="0">
    <w:p w14:paraId="29A6B2AE" w14:textId="77777777" w:rsidR="003F1C00" w:rsidRDefault="003F1C00" w:rsidP="003F1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F869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4B4D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55F57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A5FB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182E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5166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4B510C7"/>
    <w:multiLevelType w:val="hybridMultilevel"/>
    <w:tmpl w:val="AE2EC682"/>
    <w:lvl w:ilvl="0" w:tplc="20C6C1D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91FFB"/>
    <w:multiLevelType w:val="hybridMultilevel"/>
    <w:tmpl w:val="B860B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02E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F201BF"/>
    <w:multiLevelType w:val="hybridMultilevel"/>
    <w:tmpl w:val="9E34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7B2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8091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5164C5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6A24F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5D75DE7"/>
    <w:multiLevelType w:val="hybridMultilevel"/>
    <w:tmpl w:val="40D48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A42A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AE375C1"/>
    <w:multiLevelType w:val="hybridMultilevel"/>
    <w:tmpl w:val="817C0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4D8A"/>
    <w:multiLevelType w:val="hybridMultilevel"/>
    <w:tmpl w:val="C0C83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B46FB"/>
    <w:multiLevelType w:val="hybridMultilevel"/>
    <w:tmpl w:val="ADA8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21988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2372268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26441123">
    <w:abstractNumId w:val="9"/>
  </w:num>
  <w:num w:numId="4" w16cid:durableId="487212750">
    <w:abstractNumId w:val="7"/>
  </w:num>
  <w:num w:numId="5" w16cid:durableId="593827030">
    <w:abstractNumId w:val="6"/>
  </w:num>
  <w:num w:numId="6" w16cid:durableId="909079853">
    <w:abstractNumId w:val="18"/>
  </w:num>
  <w:num w:numId="7" w16cid:durableId="1954243583">
    <w:abstractNumId w:val="2"/>
  </w:num>
  <w:num w:numId="8" w16cid:durableId="1729960640">
    <w:abstractNumId w:val="10"/>
  </w:num>
  <w:num w:numId="9" w16cid:durableId="2115322016">
    <w:abstractNumId w:val="11"/>
  </w:num>
  <w:num w:numId="10" w16cid:durableId="1897277077">
    <w:abstractNumId w:val="4"/>
  </w:num>
  <w:num w:numId="11" w16cid:durableId="1414157188">
    <w:abstractNumId w:val="0"/>
  </w:num>
  <w:num w:numId="12" w16cid:durableId="1000277457">
    <w:abstractNumId w:val="5"/>
  </w:num>
  <w:num w:numId="13" w16cid:durableId="1664314390">
    <w:abstractNumId w:val="12"/>
  </w:num>
  <w:num w:numId="14" w16cid:durableId="1679382877">
    <w:abstractNumId w:val="13"/>
  </w:num>
  <w:num w:numId="15" w16cid:durableId="227541966">
    <w:abstractNumId w:val="3"/>
  </w:num>
  <w:num w:numId="16" w16cid:durableId="445540901">
    <w:abstractNumId w:val="1"/>
  </w:num>
  <w:num w:numId="17" w16cid:durableId="1278947828">
    <w:abstractNumId w:val="15"/>
  </w:num>
  <w:num w:numId="18" w16cid:durableId="367099352">
    <w:abstractNumId w:val="8"/>
  </w:num>
  <w:num w:numId="19" w16cid:durableId="443885949">
    <w:abstractNumId w:val="16"/>
  </w:num>
  <w:num w:numId="20" w16cid:durableId="8241239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655643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76349187">
    <w:abstractNumId w:val="14"/>
  </w:num>
  <w:num w:numId="23" w16cid:durableId="15201231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E8"/>
    <w:rsid w:val="00007D35"/>
    <w:rsid w:val="001741D3"/>
    <w:rsid w:val="002B4774"/>
    <w:rsid w:val="002F6DDB"/>
    <w:rsid w:val="003223CE"/>
    <w:rsid w:val="003F1C00"/>
    <w:rsid w:val="0044044A"/>
    <w:rsid w:val="004F4EED"/>
    <w:rsid w:val="00506F6A"/>
    <w:rsid w:val="00526EE1"/>
    <w:rsid w:val="005645AB"/>
    <w:rsid w:val="005B7845"/>
    <w:rsid w:val="006848E8"/>
    <w:rsid w:val="00994902"/>
    <w:rsid w:val="00A32CAD"/>
    <w:rsid w:val="00B5292A"/>
    <w:rsid w:val="00BC0E7A"/>
    <w:rsid w:val="00BC1484"/>
    <w:rsid w:val="00BD2CE1"/>
    <w:rsid w:val="00C35606"/>
    <w:rsid w:val="00CD301E"/>
    <w:rsid w:val="00CD4901"/>
    <w:rsid w:val="00D2389E"/>
    <w:rsid w:val="00D7358D"/>
    <w:rsid w:val="00E63326"/>
    <w:rsid w:val="00E6740A"/>
    <w:rsid w:val="00E7565B"/>
    <w:rsid w:val="00EA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9A95"/>
  <w15:chartTrackingRefBased/>
  <w15:docId w15:val="{B4CC7186-69C1-45F1-A7E9-043D1E15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32CA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8E8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60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3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A32CA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F1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C00"/>
  </w:style>
  <w:style w:type="paragraph" w:styleId="Footer">
    <w:name w:val="footer"/>
    <w:basedOn w:val="Normal"/>
    <w:link w:val="FooterChar"/>
    <w:uiPriority w:val="99"/>
    <w:unhideWhenUsed/>
    <w:rsid w:val="003F1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C00"/>
  </w:style>
  <w:style w:type="paragraph" w:styleId="NormalWeb">
    <w:name w:val="Normal (Web)"/>
    <w:basedOn w:val="Normal"/>
    <w:uiPriority w:val="99"/>
    <w:semiHidden/>
    <w:unhideWhenUsed/>
    <w:rsid w:val="003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F4E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so.hscni.net/directorates/operations/family-practitioner-services/medical-services/contractor-information/northern-ireland-primary-medical-performers-list-pm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wssp.nhs.wales/ourservices/primary-care-services/our-services/gp-services/all-wales-medical-performers-list-and-all-wales-locum-regist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otlanddeanery.nhs.scot/your-development/gp-induction-and-returner-programmes/welcome-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cse.england.nhs.uk/services/performers-lis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4B35C-2BCF-4660-8AA9-7A6B72D1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YEOMANS, Jayne (THE CALVERTON PRACTICE)</dc:creator>
  <cp:keywords/>
  <dc:description/>
  <cp:lastModifiedBy>Jayne Yeomans - Assistant Practice Manager - C84047</cp:lastModifiedBy>
  <cp:revision>3</cp:revision>
  <cp:lastPrinted>2024-11-20T15:36:00Z</cp:lastPrinted>
  <dcterms:created xsi:type="dcterms:W3CDTF">2024-11-20T15:38:00Z</dcterms:created>
  <dcterms:modified xsi:type="dcterms:W3CDTF">2024-12-23T10:27:00Z</dcterms:modified>
</cp:coreProperties>
</file>